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C363D">
      <w:pPr>
        <w:pStyle w:val="Heading1"/>
        <w:jc w:val="center"/>
        <w:rPr>
          <w:color w:val="000000"/>
          <w:sz w:val="28"/>
        </w:rPr>
      </w:pPr>
      <w:bookmarkStart w:id="0" w:name="_GoBack"/>
      <w:bookmarkEnd w:id="0"/>
      <w:r>
        <w:rPr>
          <w:color w:val="000000"/>
          <w:sz w:val="36"/>
          <w:szCs w:val="36"/>
        </w:rPr>
        <w:t>ALUOCHIER DISPUTE RESOLUTION</w:t>
      </w:r>
    </w:p>
    <w:p w:rsidR="00000000" w:rsidRDefault="00EC363D">
      <w:pPr>
        <w:pStyle w:val="Heading2"/>
        <w:widowControl/>
        <w:pBdr>
          <w:bottom w:val="single" w:sz="8" w:space="7" w:color="000000"/>
        </w:pBdr>
        <w:spacing w:before="0" w:after="450"/>
        <w:jc w:val="center"/>
        <w:rPr>
          <w:b w:val="0"/>
          <w:color w:val="000000"/>
          <w:sz w:val="28"/>
        </w:rPr>
      </w:pPr>
      <w:r>
        <w:rPr>
          <w:color w:val="000000"/>
          <w:sz w:val="28"/>
        </w:rPr>
        <w:t>INCOME SHARE ARRANGEMENT (ISA) AGREEMENT</w:t>
      </w:r>
    </w:p>
    <w:p w:rsidR="00000000" w:rsidRDefault="00EC363D">
      <w:pPr>
        <w:pStyle w:val="BodyText"/>
        <w:widowControl/>
        <w:pBdr>
          <w:bottom w:val="single" w:sz="8" w:space="7" w:color="000000"/>
        </w:pBdr>
        <w:spacing w:after="450"/>
        <w:jc w:val="center"/>
        <w:rPr>
          <w:rStyle w:val="Strong"/>
          <w:b w:val="0"/>
          <w:color w:val="000000"/>
        </w:rPr>
      </w:pPr>
      <w:r>
        <w:rPr>
          <w:color w:val="000000"/>
          <w:sz w:val="28"/>
        </w:rPr>
        <w:t>(Replaces DPS – Deferred Payment Scheme)</w:t>
      </w:r>
    </w:p>
    <w:p w:rsidR="00000000" w:rsidRDefault="00EC363D">
      <w:pPr>
        <w:pStyle w:val="BodyText"/>
        <w:widowControl/>
        <w:rPr>
          <w:b/>
          <w:color w:val="000000"/>
        </w:rPr>
      </w:pPr>
      <w:r>
        <w:rPr>
          <w:rStyle w:val="Strong"/>
          <w:b w:val="0"/>
          <w:color w:val="000000"/>
        </w:rPr>
        <w:t>This Agreement is made between:</w:t>
      </w:r>
      <w:r>
        <w:rPr>
          <w:color w:val="000000"/>
        </w:rPr>
        <w:br/>
        <w:t>(1) </w:t>
      </w:r>
      <w:r>
        <w:rPr>
          <w:rStyle w:val="Strong"/>
          <w:b w:val="0"/>
          <w:color w:val="000000"/>
        </w:rPr>
        <w:t>Aluochier Dispute Resolution (ADR)</w:t>
      </w:r>
      <w:r>
        <w:rPr>
          <w:color w:val="000000"/>
        </w:rPr>
        <w:t> – the Institution.</w:t>
      </w:r>
      <w:r>
        <w:rPr>
          <w:color w:val="000000"/>
        </w:rPr>
        <w:br/>
        <w:t>(2) </w:t>
      </w:r>
      <w:r>
        <w:rPr>
          <w:rStyle w:val="Strong"/>
          <w:b w:val="0"/>
          <w:color w:val="000000"/>
        </w:rPr>
        <w:t>The Trainee</w:t>
      </w:r>
      <w:r>
        <w:rPr>
          <w:color w:val="000000"/>
        </w:rPr>
        <w:t> – the individual signing below.</w:t>
      </w:r>
    </w:p>
    <w:p w:rsidR="00000000" w:rsidRDefault="00EC363D">
      <w:pPr>
        <w:pStyle w:val="BodyText"/>
        <w:widowControl/>
        <w:spacing w:after="75"/>
        <w:rPr>
          <w:color w:val="000000"/>
        </w:rPr>
      </w:pPr>
      <w:r>
        <w:rPr>
          <w:b/>
          <w:color w:val="000000"/>
        </w:rPr>
        <w:t>1. Trai</w:t>
      </w:r>
      <w:r>
        <w:rPr>
          <w:b/>
          <w:color w:val="000000"/>
        </w:rPr>
        <w:t>ning and Notional Fee</w:t>
      </w:r>
    </w:p>
    <w:p w:rsidR="00000000" w:rsidRDefault="00EC363D">
      <w:pPr>
        <w:pStyle w:val="BodyText"/>
        <w:widowControl/>
        <w:spacing w:after="300"/>
      </w:pPr>
      <w:r>
        <w:rPr>
          <w:color w:val="000000"/>
        </w:rPr>
        <w:t>The Trainee is enrolled in the following programme (tick one):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479"/>
        <w:gridCol w:w="2077"/>
        <w:gridCol w:w="2082"/>
      </w:tblGrid>
      <w:tr w:rsidR="00000000">
        <w:trPr>
          <w:tblHeader/>
        </w:trPr>
        <w:tc>
          <w:tcPr>
            <w:tcW w:w="5479" w:type="dxa"/>
            <w:tcBorders>
              <w:top w:val="single" w:sz="1" w:space="0" w:color="000000"/>
              <w:left w:val="single" w:sz="1" w:space="0" w:color="000000"/>
              <w:bottom w:val="single" w:sz="1" w:space="0" w:color="000000"/>
            </w:tcBorders>
            <w:shd w:val="clear" w:color="auto" w:fill="auto"/>
          </w:tcPr>
          <w:p w:rsidR="00000000" w:rsidRDefault="00EC363D">
            <w:pPr>
              <w:pStyle w:val="TableHeading"/>
            </w:pPr>
            <w:r>
              <w:t>Programme</w:t>
            </w:r>
          </w:p>
        </w:tc>
        <w:tc>
          <w:tcPr>
            <w:tcW w:w="2077" w:type="dxa"/>
            <w:tcBorders>
              <w:top w:val="single" w:sz="1" w:space="0" w:color="000000"/>
              <w:left w:val="single" w:sz="1" w:space="0" w:color="000000"/>
              <w:bottom w:val="single" w:sz="1" w:space="0" w:color="000000"/>
            </w:tcBorders>
            <w:shd w:val="clear" w:color="auto" w:fill="auto"/>
          </w:tcPr>
          <w:p w:rsidR="00000000" w:rsidRDefault="00EC363D">
            <w:pPr>
              <w:pStyle w:val="TableHeading"/>
            </w:pPr>
            <w:r>
              <w:t>Notional Fee</w:t>
            </w:r>
          </w:p>
        </w:tc>
        <w:tc>
          <w:tcPr>
            <w:tcW w:w="2082"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EC363D">
            <w:pPr>
              <w:pStyle w:val="TableHeading"/>
            </w:pPr>
            <w:r>
              <w:t>Cap (2x)</w:t>
            </w:r>
          </w:p>
        </w:tc>
      </w:tr>
      <w:tr w:rsidR="00000000">
        <w:tc>
          <w:tcPr>
            <w:tcW w:w="5479" w:type="dxa"/>
            <w:tcBorders>
              <w:left w:val="single" w:sz="1" w:space="0" w:color="000000"/>
              <w:bottom w:val="single" w:sz="1" w:space="0" w:color="000000"/>
            </w:tcBorders>
            <w:shd w:val="clear" w:color="auto" w:fill="auto"/>
          </w:tcPr>
          <w:p w:rsidR="00000000" w:rsidRDefault="00EC363D">
            <w:pPr>
              <w:pStyle w:val="TableContents"/>
              <w:pBdr>
                <w:top w:val="single" w:sz="1" w:space="6" w:color="C0C0C0"/>
                <w:left w:val="single" w:sz="1" w:space="6" w:color="C0C0C0"/>
                <w:bottom w:val="single" w:sz="1" w:space="6" w:color="C0C0C0"/>
                <w:right w:val="single" w:sz="1" w:space="6" w:color="C0C0C0"/>
              </w:pBdr>
            </w:pPr>
            <w:r>
              <w:t>☐</w:t>
            </w:r>
            <w:r>
              <w:t xml:space="preserve"> </w:t>
            </w:r>
            <w:r>
              <w:t>Tier I (Foundation Certificate)</w:t>
            </w:r>
          </w:p>
        </w:tc>
        <w:tc>
          <w:tcPr>
            <w:tcW w:w="2077" w:type="dxa"/>
            <w:tcBorders>
              <w:left w:val="single" w:sz="1" w:space="0" w:color="000000"/>
              <w:bottom w:val="single" w:sz="1" w:space="0" w:color="000000"/>
            </w:tcBorders>
            <w:shd w:val="clear" w:color="auto" w:fill="auto"/>
          </w:tcPr>
          <w:p w:rsidR="00000000" w:rsidRDefault="00EC363D">
            <w:pPr>
              <w:pStyle w:val="TableContents"/>
              <w:jc w:val="right"/>
            </w:pPr>
            <w:r>
              <w:t>KES 45,000</w:t>
            </w:r>
          </w:p>
        </w:tc>
        <w:tc>
          <w:tcPr>
            <w:tcW w:w="2082" w:type="dxa"/>
            <w:tcBorders>
              <w:left w:val="single" w:sz="1" w:space="0" w:color="000000"/>
              <w:bottom w:val="single" w:sz="1" w:space="0" w:color="000000"/>
              <w:right w:val="single" w:sz="1" w:space="0" w:color="000000"/>
            </w:tcBorders>
            <w:shd w:val="clear" w:color="auto" w:fill="auto"/>
          </w:tcPr>
          <w:p w:rsidR="00000000" w:rsidRDefault="00EC363D">
            <w:pPr>
              <w:pStyle w:val="TableContents"/>
              <w:jc w:val="right"/>
            </w:pPr>
            <w:r>
              <w:t>KES 90,000</w:t>
            </w:r>
          </w:p>
        </w:tc>
      </w:tr>
      <w:tr w:rsidR="00000000">
        <w:tc>
          <w:tcPr>
            <w:tcW w:w="5479" w:type="dxa"/>
            <w:tcBorders>
              <w:left w:val="single" w:sz="1" w:space="0" w:color="000000"/>
              <w:bottom w:val="single" w:sz="1" w:space="0" w:color="000000"/>
            </w:tcBorders>
            <w:shd w:val="clear" w:color="auto" w:fill="auto"/>
          </w:tcPr>
          <w:p w:rsidR="00000000" w:rsidRDefault="00EC363D">
            <w:pPr>
              <w:pStyle w:val="TableContents"/>
              <w:pBdr>
                <w:top w:val="single" w:sz="1" w:space="6" w:color="C0C0C0"/>
                <w:left w:val="single" w:sz="1" w:space="6" w:color="C0C0C0"/>
                <w:bottom w:val="single" w:sz="1" w:space="6" w:color="C0C0C0"/>
                <w:right w:val="single" w:sz="1" w:space="6" w:color="C0C0C0"/>
              </w:pBdr>
            </w:pPr>
            <w:r>
              <w:t>☐</w:t>
            </w:r>
            <w:r>
              <w:t xml:space="preserve"> </w:t>
            </w:r>
            <w:r>
              <w:t>AISTAR Specialist Standalone</w:t>
            </w:r>
          </w:p>
        </w:tc>
        <w:tc>
          <w:tcPr>
            <w:tcW w:w="2077" w:type="dxa"/>
            <w:tcBorders>
              <w:left w:val="single" w:sz="1" w:space="0" w:color="000000"/>
              <w:bottom w:val="single" w:sz="1" w:space="0" w:color="000000"/>
            </w:tcBorders>
            <w:shd w:val="clear" w:color="auto" w:fill="auto"/>
          </w:tcPr>
          <w:p w:rsidR="00000000" w:rsidRDefault="00EC363D">
            <w:pPr>
              <w:pStyle w:val="TableContents"/>
              <w:jc w:val="right"/>
            </w:pPr>
            <w:r>
              <w:t>KES 28,000</w:t>
            </w:r>
          </w:p>
        </w:tc>
        <w:tc>
          <w:tcPr>
            <w:tcW w:w="2082" w:type="dxa"/>
            <w:tcBorders>
              <w:left w:val="single" w:sz="1" w:space="0" w:color="000000"/>
              <w:bottom w:val="single" w:sz="1" w:space="0" w:color="000000"/>
              <w:right w:val="single" w:sz="1" w:space="0" w:color="000000"/>
            </w:tcBorders>
            <w:shd w:val="clear" w:color="auto" w:fill="auto"/>
          </w:tcPr>
          <w:p w:rsidR="00000000" w:rsidRDefault="00EC363D">
            <w:pPr>
              <w:pStyle w:val="TableContents"/>
              <w:jc w:val="right"/>
            </w:pPr>
            <w:r>
              <w:t>KES 56,000</w:t>
            </w:r>
          </w:p>
        </w:tc>
      </w:tr>
      <w:tr w:rsidR="00000000">
        <w:tc>
          <w:tcPr>
            <w:tcW w:w="5479" w:type="dxa"/>
            <w:tcBorders>
              <w:left w:val="single" w:sz="1" w:space="0" w:color="000000"/>
              <w:bottom w:val="single" w:sz="1" w:space="0" w:color="000000"/>
            </w:tcBorders>
            <w:shd w:val="clear" w:color="auto" w:fill="auto"/>
          </w:tcPr>
          <w:p w:rsidR="00000000" w:rsidRDefault="00EC363D">
            <w:pPr>
              <w:pStyle w:val="TableContents"/>
              <w:pBdr>
                <w:top w:val="single" w:sz="1" w:space="6" w:color="C0C0C0"/>
                <w:left w:val="single" w:sz="1" w:space="6" w:color="C0C0C0"/>
                <w:bottom w:val="single" w:sz="1" w:space="6" w:color="C0C0C0"/>
                <w:right w:val="single" w:sz="1" w:space="6" w:color="C0C0C0"/>
              </w:pBdr>
            </w:pPr>
            <w:r>
              <w:t>☐</w:t>
            </w:r>
            <w:r>
              <w:t xml:space="preserve"> </w:t>
            </w:r>
            <w:r>
              <w:t>ARP Registration (incl. I</w:t>
            </w:r>
            <w:r>
              <w:t>nduction Assessment)</w:t>
            </w:r>
          </w:p>
        </w:tc>
        <w:tc>
          <w:tcPr>
            <w:tcW w:w="2077" w:type="dxa"/>
            <w:tcBorders>
              <w:left w:val="single" w:sz="1" w:space="0" w:color="000000"/>
              <w:bottom w:val="single" w:sz="1" w:space="0" w:color="000000"/>
            </w:tcBorders>
            <w:shd w:val="clear" w:color="auto" w:fill="auto"/>
          </w:tcPr>
          <w:p w:rsidR="00000000" w:rsidRDefault="00EC363D">
            <w:pPr>
              <w:pStyle w:val="TableContents"/>
              <w:jc w:val="right"/>
            </w:pPr>
            <w:r>
              <w:t>KES 5,000</w:t>
            </w:r>
          </w:p>
        </w:tc>
        <w:tc>
          <w:tcPr>
            <w:tcW w:w="2082" w:type="dxa"/>
            <w:tcBorders>
              <w:left w:val="single" w:sz="1" w:space="0" w:color="000000"/>
              <w:bottom w:val="single" w:sz="1" w:space="0" w:color="000000"/>
              <w:right w:val="single" w:sz="1" w:space="0" w:color="000000"/>
            </w:tcBorders>
            <w:shd w:val="clear" w:color="auto" w:fill="auto"/>
          </w:tcPr>
          <w:p w:rsidR="00000000" w:rsidRDefault="00EC363D">
            <w:pPr>
              <w:pStyle w:val="TableContents"/>
              <w:jc w:val="right"/>
            </w:pPr>
            <w:r>
              <w:t>KES 10,000</w:t>
            </w:r>
          </w:p>
        </w:tc>
      </w:tr>
    </w:tbl>
    <w:p w:rsidR="00000000" w:rsidRDefault="00EC363D">
      <w:pPr>
        <w:pStyle w:val="BodyText"/>
        <w:widowControl/>
        <w:spacing w:after="300"/>
        <w:rPr>
          <w:color w:val="000000"/>
        </w:rPr>
      </w:pPr>
    </w:p>
    <w:p w:rsidR="00000000" w:rsidRDefault="00EC363D">
      <w:pPr>
        <w:pStyle w:val="BodyText"/>
        <w:widowControl/>
        <w:spacing w:after="300"/>
        <w:rPr>
          <w:b/>
          <w:color w:val="000000"/>
        </w:rPr>
      </w:pPr>
      <w:r>
        <w:rPr>
          <w:color w:val="000000"/>
        </w:rPr>
        <w:t>The Notional Fee is not a debt. It is used only to calculate the Cap.</w:t>
      </w:r>
    </w:p>
    <w:p w:rsidR="00000000" w:rsidRDefault="00EC363D">
      <w:pPr>
        <w:pStyle w:val="BodyText"/>
        <w:widowControl/>
        <w:spacing w:after="75"/>
        <w:rPr>
          <w:color w:val="000000"/>
        </w:rPr>
      </w:pPr>
      <w:r>
        <w:rPr>
          <w:b/>
          <w:color w:val="000000"/>
        </w:rPr>
        <w:t>2. Income Share Percentage</w:t>
      </w:r>
    </w:p>
    <w:p w:rsidR="00000000" w:rsidRDefault="00EC363D">
      <w:pPr>
        <w:pStyle w:val="BodyText"/>
        <w:widowControl/>
        <w:spacing w:after="300"/>
        <w:rPr>
          <w:b/>
          <w:color w:val="000000"/>
        </w:rPr>
      </w:pPr>
      <w:r>
        <w:rPr>
          <w:color w:val="000000"/>
        </w:rPr>
        <w:t xml:space="preserve">The Trainee agrees to pay ADR </w:t>
      </w:r>
      <w:r>
        <w:rPr>
          <w:rStyle w:val="Strong"/>
          <w:b w:val="0"/>
          <w:color w:val="000000"/>
        </w:rPr>
        <w:t>15% of their gross professional fees</w:t>
      </w:r>
      <w:r>
        <w:rPr>
          <w:color w:val="000000"/>
        </w:rPr>
        <w:t> received from any AITAR, AISTAR, or AIETAR appoi</w:t>
      </w:r>
      <w:r>
        <w:rPr>
          <w:color w:val="000000"/>
        </w:rPr>
        <w:t>ntment (whether as Tribunal member, SST Verifier, or SRT member). This includes fees earned from the Institution and from any third</w:t>
      </w:r>
      <w:r>
        <w:rPr>
          <w:color w:val="000000"/>
        </w:rPr>
        <w:noBreakHyphen/>
        <w:t>party appointments that are recognised by ADR as qualifying.</w:t>
      </w:r>
    </w:p>
    <w:p w:rsidR="00000000" w:rsidRDefault="00EC363D">
      <w:pPr>
        <w:pStyle w:val="BodyText"/>
        <w:widowControl/>
        <w:spacing w:after="75"/>
        <w:rPr>
          <w:color w:val="000000"/>
        </w:rPr>
      </w:pPr>
      <w:r>
        <w:rPr>
          <w:b/>
          <w:color w:val="000000"/>
        </w:rPr>
        <w:t>3. Cap (Maximum Total Payment)</w:t>
      </w:r>
    </w:p>
    <w:p w:rsidR="00000000" w:rsidRDefault="00EC363D">
      <w:pPr>
        <w:pStyle w:val="BodyText"/>
        <w:widowControl/>
        <w:spacing w:after="300"/>
        <w:rPr>
          <w:b/>
          <w:color w:val="000000"/>
        </w:rPr>
      </w:pPr>
      <w:r>
        <w:rPr>
          <w:color w:val="000000"/>
        </w:rPr>
        <w:t>The maximum total amount the Tra</w:t>
      </w:r>
      <w:r>
        <w:rPr>
          <w:color w:val="000000"/>
        </w:rPr>
        <w:t>inee will ever pay under this ISA is </w:t>
      </w:r>
      <w:r>
        <w:rPr>
          <w:rStyle w:val="Strong"/>
          <w:b w:val="0"/>
          <w:color w:val="000000"/>
        </w:rPr>
        <w:t>2 times the Notional Fee</w:t>
      </w:r>
      <w:r>
        <w:rPr>
          <w:color w:val="000000"/>
        </w:rPr>
        <w:t> (see table above). Once the Trainee has paid that amount, the obligation ends, regardless of how much they continue to earn.</w:t>
      </w:r>
    </w:p>
    <w:p w:rsidR="00000000" w:rsidRDefault="00EC363D">
      <w:pPr>
        <w:pStyle w:val="BodyText"/>
        <w:widowControl/>
        <w:spacing w:after="75"/>
        <w:rPr>
          <w:color w:val="000000"/>
        </w:rPr>
      </w:pPr>
      <w:r>
        <w:rPr>
          <w:b/>
          <w:color w:val="000000"/>
        </w:rPr>
        <w:t>4. Payment Process</w:t>
      </w:r>
    </w:p>
    <w:p w:rsidR="00000000" w:rsidRDefault="00EC363D">
      <w:pPr>
        <w:pStyle w:val="BodyText"/>
        <w:widowControl/>
        <w:spacing w:after="300"/>
        <w:rPr>
          <w:color w:val="000000"/>
        </w:rPr>
      </w:pPr>
      <w:r>
        <w:rPr>
          <w:color w:val="000000"/>
        </w:rPr>
        <w:t xml:space="preserve">When the Trainee receives a professional fee from </w:t>
      </w:r>
      <w:r>
        <w:rPr>
          <w:color w:val="000000"/>
        </w:rPr>
        <w:t>an appointment, ADR will issue a separate invoice for 15% of that fee (plus VAT at the prevailing rate). The Trainee must pay that invoice within 30 days. ADR does not deduct the ISA share from the appointment fee; the Trainee receives the full appointment</w:t>
      </w:r>
      <w:r>
        <w:rPr>
          <w:color w:val="000000"/>
        </w:rPr>
        <w:t xml:space="preserve"> fee and then pays ADR separately.</w:t>
      </w:r>
    </w:p>
    <w:p w:rsidR="00000000" w:rsidRDefault="00EC363D">
      <w:pPr>
        <w:pStyle w:val="BodyText"/>
        <w:widowControl/>
        <w:spacing w:after="300"/>
        <w:rPr>
          <w:b/>
          <w:color w:val="000000"/>
        </w:rPr>
      </w:pPr>
      <w:r>
        <w:rPr>
          <w:color w:val="000000"/>
        </w:rPr>
        <w:t>The Trainee must report all professional fees quarterly using </w:t>
      </w:r>
      <w:r>
        <w:rPr>
          <w:rStyle w:val="Strong"/>
          <w:b w:val="0"/>
          <w:color w:val="000000"/>
        </w:rPr>
        <w:t>Form ISA</w:t>
      </w:r>
      <w:r>
        <w:rPr>
          <w:rStyle w:val="Strong"/>
          <w:b w:val="0"/>
          <w:color w:val="000000"/>
        </w:rPr>
        <w:noBreakHyphen/>
        <w:t>Income</w:t>
      </w:r>
      <w:r>
        <w:rPr>
          <w:rStyle w:val="Strong"/>
          <w:b w:val="0"/>
          <w:color w:val="000000"/>
        </w:rPr>
        <w:noBreakHyphen/>
        <w:t>Declaration</w:t>
      </w:r>
      <w:r>
        <w:rPr>
          <w:color w:val="000000"/>
        </w:rPr>
        <w:t>. ADR may verify the reported fees against its own appointment records. Under</w:t>
      </w:r>
      <w:r>
        <w:rPr>
          <w:color w:val="000000"/>
        </w:rPr>
        <w:noBreakHyphen/>
        <w:t>reporting is a material breach of this Agreement.</w:t>
      </w:r>
    </w:p>
    <w:p w:rsidR="00000000" w:rsidRDefault="00EC363D">
      <w:pPr>
        <w:pStyle w:val="BodyText"/>
        <w:widowControl/>
        <w:spacing w:after="75"/>
        <w:rPr>
          <w:color w:val="000000"/>
        </w:rPr>
      </w:pPr>
      <w:r>
        <w:rPr>
          <w:b/>
          <w:color w:val="000000"/>
        </w:rPr>
        <w:lastRenderedPageBreak/>
        <w:t>5. N</w:t>
      </w:r>
      <w:r>
        <w:rPr>
          <w:b/>
          <w:color w:val="000000"/>
        </w:rPr>
        <w:t>o Interest, No Prepayment Penalty</w:t>
      </w:r>
    </w:p>
    <w:p w:rsidR="00000000" w:rsidRDefault="00EC363D">
      <w:pPr>
        <w:pStyle w:val="BodyText"/>
        <w:widowControl/>
        <w:spacing w:after="300"/>
        <w:rPr>
          <w:b/>
          <w:color w:val="000000"/>
        </w:rPr>
      </w:pPr>
      <w:r>
        <w:rPr>
          <w:color w:val="000000"/>
        </w:rPr>
        <w:t>This ISA does not accrue interest. The Trainee may at any time pay the remaining Cap in a lump sum without penalty.</w:t>
      </w:r>
    </w:p>
    <w:p w:rsidR="00000000" w:rsidRDefault="00EC363D">
      <w:pPr>
        <w:pStyle w:val="BodyText"/>
        <w:widowControl/>
        <w:spacing w:after="75"/>
        <w:rPr>
          <w:color w:val="000000"/>
        </w:rPr>
      </w:pPr>
      <w:r>
        <w:rPr>
          <w:b/>
          <w:color w:val="000000"/>
        </w:rPr>
        <w:t>6. Write</w:t>
      </w:r>
      <w:r>
        <w:rPr>
          <w:b/>
          <w:color w:val="000000"/>
        </w:rPr>
        <w:noBreakHyphen/>
        <w:t>off (Zero Payment)</w:t>
      </w:r>
    </w:p>
    <w:p w:rsidR="00000000" w:rsidRDefault="00EC363D">
      <w:pPr>
        <w:pStyle w:val="BodyText"/>
        <w:widowControl/>
        <w:spacing w:after="300"/>
        <w:rPr>
          <w:color w:val="000000"/>
        </w:rPr>
      </w:pPr>
      <w:r>
        <w:rPr>
          <w:color w:val="000000"/>
        </w:rPr>
        <w:t>If the Trainee completes the training and then receives no qualifying appointm</w:t>
      </w:r>
      <w:r>
        <w:rPr>
          <w:color w:val="000000"/>
        </w:rPr>
        <w:t>ents for 24 consecutive months, and the Trainee was willing and available to accept appointments, ADR will write off the entire remaining Cap. If the Trainee declines appointments, the obligation continues.</w:t>
      </w:r>
    </w:p>
    <w:p w:rsidR="00000000" w:rsidRDefault="00EC363D">
      <w:pPr>
        <w:pStyle w:val="BodyText"/>
        <w:widowControl/>
        <w:spacing w:after="300"/>
        <w:rPr>
          <w:b/>
          <w:color w:val="000000"/>
        </w:rPr>
      </w:pPr>
      <w:r>
        <w:rPr>
          <w:color w:val="000000"/>
        </w:rPr>
        <w:t>Upon the Trainee’s death, the remaining Cap is au</w:t>
      </w:r>
      <w:r>
        <w:rPr>
          <w:color w:val="000000"/>
        </w:rPr>
        <w:t>tomatically written off; no obligation passes to the estate.</w:t>
      </w:r>
    </w:p>
    <w:p w:rsidR="00000000" w:rsidRDefault="00EC363D">
      <w:pPr>
        <w:pStyle w:val="BodyText"/>
        <w:widowControl/>
        <w:spacing w:after="75"/>
        <w:rPr>
          <w:color w:val="000000"/>
        </w:rPr>
      </w:pPr>
      <w:r>
        <w:rPr>
          <w:b/>
          <w:color w:val="000000"/>
        </w:rPr>
        <w:t>7. Default and Consequences</w:t>
      </w:r>
    </w:p>
    <w:p w:rsidR="00000000" w:rsidRDefault="00EC363D">
      <w:pPr>
        <w:pStyle w:val="BodyText"/>
        <w:widowControl/>
        <w:spacing w:after="300"/>
        <w:rPr>
          <w:color w:val="000000"/>
        </w:rPr>
      </w:pPr>
      <w:r>
        <w:rPr>
          <w:color w:val="000000"/>
        </w:rPr>
        <w:t>The Trainee is in default if:</w:t>
      </w:r>
    </w:p>
    <w:p w:rsidR="00000000" w:rsidRDefault="00EC363D">
      <w:pPr>
        <w:pStyle w:val="BodyText"/>
        <w:widowControl/>
        <w:numPr>
          <w:ilvl w:val="0"/>
          <w:numId w:val="2"/>
        </w:numPr>
        <w:tabs>
          <w:tab w:val="left" w:pos="707"/>
        </w:tabs>
        <w:spacing w:after="300"/>
        <w:rPr>
          <w:color w:val="000000"/>
        </w:rPr>
      </w:pPr>
      <w:r>
        <w:rPr>
          <w:color w:val="000000"/>
        </w:rPr>
        <w:t>They fail to pay an ISA invoice within 90 days of due date.</w:t>
      </w:r>
    </w:p>
    <w:p w:rsidR="00000000" w:rsidRDefault="00EC363D">
      <w:pPr>
        <w:pStyle w:val="BodyText"/>
        <w:widowControl/>
        <w:numPr>
          <w:ilvl w:val="0"/>
          <w:numId w:val="2"/>
        </w:numPr>
        <w:tabs>
          <w:tab w:val="left" w:pos="707"/>
        </w:tabs>
        <w:spacing w:after="300"/>
        <w:rPr>
          <w:color w:val="000000"/>
        </w:rPr>
      </w:pPr>
      <w:r>
        <w:rPr>
          <w:color w:val="000000"/>
        </w:rPr>
        <w:t>They knowingly under</w:t>
      </w:r>
      <w:r>
        <w:rPr>
          <w:color w:val="000000"/>
        </w:rPr>
        <w:noBreakHyphen/>
        <w:t>report professional fees.</w:t>
      </w:r>
    </w:p>
    <w:p w:rsidR="00000000" w:rsidRDefault="00EC363D">
      <w:pPr>
        <w:pStyle w:val="BodyText"/>
        <w:widowControl/>
        <w:numPr>
          <w:ilvl w:val="0"/>
          <w:numId w:val="2"/>
        </w:numPr>
        <w:tabs>
          <w:tab w:val="left" w:pos="707"/>
        </w:tabs>
        <w:spacing w:after="300"/>
        <w:rPr>
          <w:color w:val="000000"/>
        </w:rPr>
      </w:pPr>
      <w:r>
        <w:rPr>
          <w:color w:val="000000"/>
        </w:rPr>
        <w:t>They repeatedly decline appoin</w:t>
      </w:r>
      <w:r>
        <w:rPr>
          <w:color w:val="000000"/>
        </w:rPr>
        <w:t>tments to avoid payment.</w:t>
      </w:r>
    </w:p>
    <w:p w:rsidR="00000000" w:rsidRDefault="00EC363D">
      <w:pPr>
        <w:pStyle w:val="BodyText"/>
        <w:widowControl/>
        <w:spacing w:after="300"/>
        <w:rPr>
          <w:b/>
          <w:color w:val="000000"/>
        </w:rPr>
      </w:pPr>
      <w:r>
        <w:rPr>
          <w:color w:val="000000"/>
        </w:rPr>
        <w:t>Upon default, ADR may suspend the Trainee’s Roster standing (or ARP registration) and declare the remaining Cap immediately due.</w:t>
      </w:r>
    </w:p>
    <w:p w:rsidR="00000000" w:rsidRDefault="00EC363D">
      <w:pPr>
        <w:pStyle w:val="BodyText"/>
        <w:widowControl/>
        <w:spacing w:after="75"/>
        <w:rPr>
          <w:color w:val="000000"/>
        </w:rPr>
      </w:pPr>
      <w:r>
        <w:rPr>
          <w:b/>
          <w:color w:val="000000"/>
        </w:rPr>
        <w:t>8. Entire Agreement</w:t>
      </w:r>
    </w:p>
    <w:p w:rsidR="00000000" w:rsidRDefault="00EC363D">
      <w:pPr>
        <w:pStyle w:val="BodyText"/>
        <w:widowControl/>
        <w:spacing w:after="300"/>
        <w:rPr>
          <w:b/>
          <w:color w:val="000000"/>
        </w:rPr>
      </w:pPr>
      <w:r>
        <w:rPr>
          <w:color w:val="000000"/>
        </w:rPr>
        <w:t>This Agreement supersedes any previous arrangement (including DPS). No variation i</w:t>
      </w:r>
      <w:r>
        <w:rPr>
          <w:color w:val="000000"/>
        </w:rPr>
        <w:t>s effective unless in writing signed by both parties.</w:t>
      </w:r>
    </w:p>
    <w:p w:rsidR="00000000" w:rsidRDefault="00EC363D">
      <w:pPr>
        <w:pStyle w:val="BodyText"/>
        <w:widowControl/>
        <w:spacing w:after="75"/>
        <w:rPr>
          <w:b/>
          <w:color w:val="000000"/>
        </w:rPr>
      </w:pPr>
      <w:r>
        <w:rPr>
          <w:b/>
          <w:color w:val="000000"/>
        </w:rPr>
        <w:t>SCHEDULE A – Trainee Details</w:t>
      </w:r>
    </w:p>
    <w:p w:rsidR="00000000" w:rsidRDefault="00EC363D">
      <w:pPr>
        <w:pStyle w:val="BodyText"/>
        <w:widowControl/>
        <w:spacing w:after="75"/>
        <w:rPr>
          <w:b/>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000000">
        <w:tc>
          <w:tcPr>
            <w:tcW w:w="4818" w:type="dxa"/>
            <w:tcBorders>
              <w:top w:val="single" w:sz="1" w:space="0" w:color="000000"/>
              <w:left w:val="single" w:sz="1" w:space="0" w:color="000000"/>
              <w:bottom w:val="single" w:sz="1" w:space="0" w:color="000000"/>
            </w:tcBorders>
            <w:shd w:val="clear" w:color="auto" w:fill="auto"/>
          </w:tcPr>
          <w:p w:rsidR="00000000" w:rsidRDefault="00EC363D">
            <w:pPr>
              <w:pStyle w:val="TableContents"/>
            </w:pPr>
            <w:r>
              <w:t>Full Name</w:t>
            </w:r>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EC363D">
            <w:pPr>
              <w:pStyle w:val="TableContents"/>
            </w:pPr>
          </w:p>
        </w:tc>
      </w:tr>
      <w:tr w:rsidR="00000000">
        <w:tc>
          <w:tcPr>
            <w:tcW w:w="4818" w:type="dxa"/>
            <w:tcBorders>
              <w:left w:val="single" w:sz="1" w:space="0" w:color="000000"/>
              <w:bottom w:val="single" w:sz="1" w:space="0" w:color="000000"/>
            </w:tcBorders>
            <w:shd w:val="clear" w:color="auto" w:fill="auto"/>
          </w:tcPr>
          <w:p w:rsidR="00000000" w:rsidRDefault="00EC363D">
            <w:pPr>
              <w:pStyle w:val="TableContents"/>
            </w:pPr>
            <w:r>
              <w:t>ID / Passport</w:t>
            </w:r>
          </w:p>
        </w:tc>
        <w:tc>
          <w:tcPr>
            <w:tcW w:w="4820" w:type="dxa"/>
            <w:tcBorders>
              <w:left w:val="single" w:sz="1" w:space="0" w:color="000000"/>
              <w:bottom w:val="single" w:sz="1" w:space="0" w:color="000000"/>
              <w:right w:val="single" w:sz="1" w:space="0" w:color="000000"/>
            </w:tcBorders>
            <w:shd w:val="clear" w:color="auto" w:fill="auto"/>
          </w:tcPr>
          <w:p w:rsidR="00000000" w:rsidRDefault="00EC363D">
            <w:pPr>
              <w:pStyle w:val="TableContents"/>
            </w:pPr>
          </w:p>
        </w:tc>
      </w:tr>
      <w:tr w:rsidR="00000000">
        <w:tc>
          <w:tcPr>
            <w:tcW w:w="4818" w:type="dxa"/>
            <w:tcBorders>
              <w:left w:val="single" w:sz="1" w:space="0" w:color="000000"/>
              <w:bottom w:val="single" w:sz="1" w:space="0" w:color="000000"/>
            </w:tcBorders>
            <w:shd w:val="clear" w:color="auto" w:fill="auto"/>
          </w:tcPr>
          <w:p w:rsidR="00000000" w:rsidRDefault="00EC363D">
            <w:pPr>
              <w:pStyle w:val="TableContents"/>
            </w:pPr>
            <w:r>
              <w:t>Email</w:t>
            </w:r>
          </w:p>
        </w:tc>
        <w:tc>
          <w:tcPr>
            <w:tcW w:w="4820" w:type="dxa"/>
            <w:tcBorders>
              <w:left w:val="single" w:sz="1" w:space="0" w:color="000000"/>
              <w:bottom w:val="single" w:sz="1" w:space="0" w:color="000000"/>
              <w:right w:val="single" w:sz="1" w:space="0" w:color="000000"/>
            </w:tcBorders>
            <w:shd w:val="clear" w:color="auto" w:fill="auto"/>
          </w:tcPr>
          <w:p w:rsidR="00000000" w:rsidRDefault="00EC363D">
            <w:pPr>
              <w:pStyle w:val="TableContents"/>
            </w:pPr>
          </w:p>
        </w:tc>
      </w:tr>
      <w:tr w:rsidR="00000000">
        <w:tc>
          <w:tcPr>
            <w:tcW w:w="4818" w:type="dxa"/>
            <w:tcBorders>
              <w:left w:val="single" w:sz="1" w:space="0" w:color="000000"/>
              <w:bottom w:val="single" w:sz="1" w:space="0" w:color="000000"/>
            </w:tcBorders>
            <w:shd w:val="clear" w:color="auto" w:fill="auto"/>
          </w:tcPr>
          <w:p w:rsidR="00000000" w:rsidRDefault="00EC363D">
            <w:pPr>
              <w:pStyle w:val="TableContents"/>
            </w:pPr>
            <w:r>
              <w:t>Phone</w:t>
            </w:r>
          </w:p>
        </w:tc>
        <w:tc>
          <w:tcPr>
            <w:tcW w:w="4820" w:type="dxa"/>
            <w:tcBorders>
              <w:left w:val="single" w:sz="1" w:space="0" w:color="000000"/>
              <w:bottom w:val="single" w:sz="1" w:space="0" w:color="000000"/>
              <w:right w:val="single" w:sz="1" w:space="0" w:color="000000"/>
            </w:tcBorders>
            <w:shd w:val="clear" w:color="auto" w:fill="auto"/>
          </w:tcPr>
          <w:p w:rsidR="00000000" w:rsidRDefault="00EC363D">
            <w:pPr>
              <w:pStyle w:val="TableContents"/>
            </w:pPr>
          </w:p>
        </w:tc>
      </w:tr>
      <w:tr w:rsidR="00000000">
        <w:tc>
          <w:tcPr>
            <w:tcW w:w="4818" w:type="dxa"/>
            <w:tcBorders>
              <w:left w:val="single" w:sz="1" w:space="0" w:color="000000"/>
              <w:bottom w:val="single" w:sz="1" w:space="0" w:color="000000"/>
            </w:tcBorders>
            <w:shd w:val="clear" w:color="auto" w:fill="auto"/>
          </w:tcPr>
          <w:p w:rsidR="00000000" w:rsidRDefault="00EC363D">
            <w:pPr>
              <w:pStyle w:val="TableContents"/>
            </w:pPr>
            <w:r>
              <w:t>Programme (Ticked from clause 1)</w:t>
            </w:r>
          </w:p>
        </w:tc>
        <w:tc>
          <w:tcPr>
            <w:tcW w:w="4820" w:type="dxa"/>
            <w:tcBorders>
              <w:left w:val="single" w:sz="1" w:space="0" w:color="000000"/>
              <w:bottom w:val="single" w:sz="1" w:space="0" w:color="000000"/>
              <w:right w:val="single" w:sz="1" w:space="0" w:color="000000"/>
            </w:tcBorders>
            <w:shd w:val="clear" w:color="auto" w:fill="auto"/>
          </w:tcPr>
          <w:p w:rsidR="00000000" w:rsidRDefault="00EC363D">
            <w:pPr>
              <w:pStyle w:val="TableContents"/>
            </w:pPr>
          </w:p>
        </w:tc>
      </w:tr>
    </w:tbl>
    <w:p w:rsidR="00000000" w:rsidRDefault="00EC363D">
      <w:pPr>
        <w:pStyle w:val="BodyText"/>
        <w:widowControl/>
        <w:spacing w:after="75"/>
        <w:rPr>
          <w:color w:val="000000"/>
        </w:rPr>
      </w:pPr>
    </w:p>
    <w:p w:rsidR="00000000" w:rsidRDefault="00EC363D">
      <w:pPr>
        <w:pStyle w:val="BodyText"/>
        <w:widowControl/>
        <w:spacing w:before="600"/>
        <w:rPr>
          <w:color w:val="000000"/>
        </w:rPr>
      </w:pPr>
      <w:r>
        <w:rPr>
          <w:rStyle w:val="Strong"/>
          <w:b w:val="0"/>
          <w:color w:val="000000"/>
        </w:rPr>
        <w:t>Signed by the Trainee</w:t>
      </w:r>
    </w:p>
    <w:p w:rsidR="00000000" w:rsidRDefault="00EC363D">
      <w:pPr>
        <w:pStyle w:val="BodyText"/>
        <w:widowControl/>
        <w:spacing w:before="600"/>
        <w:rPr>
          <w:color w:val="000000"/>
        </w:rPr>
      </w:pPr>
      <w:r>
        <w:rPr>
          <w:color w:val="000000"/>
        </w:rPr>
        <w:t>Signature: _________________________</w:t>
      </w:r>
    </w:p>
    <w:p w:rsidR="00000000" w:rsidRDefault="00EC363D">
      <w:pPr>
        <w:pStyle w:val="BodyText"/>
        <w:widowControl/>
        <w:spacing w:before="600"/>
        <w:rPr>
          <w:color w:val="000000"/>
        </w:rPr>
      </w:pPr>
      <w:r>
        <w:rPr>
          <w:color w:val="000000"/>
        </w:rPr>
        <w:t>Name: _________________________</w:t>
      </w:r>
    </w:p>
    <w:p w:rsidR="00000000" w:rsidRDefault="00EC363D">
      <w:pPr>
        <w:pStyle w:val="BodyText"/>
        <w:widowControl/>
        <w:spacing w:before="600"/>
        <w:rPr>
          <w:rStyle w:val="Strong"/>
          <w:b w:val="0"/>
          <w:color w:val="000000"/>
        </w:rPr>
      </w:pPr>
      <w:r>
        <w:rPr>
          <w:color w:val="000000"/>
        </w:rPr>
        <w:lastRenderedPageBreak/>
        <w:t>D</w:t>
      </w:r>
      <w:r>
        <w:rPr>
          <w:color w:val="000000"/>
        </w:rPr>
        <w:t>ate: _________________________</w:t>
      </w:r>
    </w:p>
    <w:p w:rsidR="00000000" w:rsidRDefault="00EC363D">
      <w:pPr>
        <w:pStyle w:val="BodyText"/>
        <w:widowControl/>
        <w:spacing w:before="600"/>
        <w:rPr>
          <w:color w:val="000000"/>
        </w:rPr>
      </w:pPr>
      <w:r>
        <w:rPr>
          <w:rStyle w:val="Strong"/>
          <w:b w:val="0"/>
          <w:color w:val="000000"/>
        </w:rPr>
        <w:t>For Aluochier Dispute Resolution</w:t>
      </w:r>
    </w:p>
    <w:p w:rsidR="00000000" w:rsidRDefault="00EC363D">
      <w:pPr>
        <w:pStyle w:val="BodyText"/>
        <w:widowControl/>
        <w:spacing w:before="600"/>
        <w:rPr>
          <w:color w:val="000000"/>
        </w:rPr>
      </w:pPr>
      <w:r>
        <w:rPr>
          <w:color w:val="000000"/>
        </w:rPr>
        <w:t>Signature: _________________________</w:t>
      </w:r>
    </w:p>
    <w:p w:rsidR="00000000" w:rsidRDefault="00EC363D">
      <w:pPr>
        <w:pStyle w:val="BodyText"/>
        <w:widowControl/>
        <w:spacing w:before="600"/>
        <w:rPr>
          <w:color w:val="000000"/>
        </w:rPr>
      </w:pPr>
      <w:r>
        <w:rPr>
          <w:color w:val="000000"/>
        </w:rPr>
        <w:t>Isaac Aluochier, Chief Adjudicator</w:t>
      </w:r>
    </w:p>
    <w:p w:rsidR="00000000" w:rsidRDefault="00EC363D">
      <w:pPr>
        <w:pStyle w:val="BodyText"/>
        <w:widowControl/>
        <w:spacing w:before="600"/>
        <w:rPr>
          <w:color w:val="000000"/>
        </w:rPr>
      </w:pPr>
      <w:r>
        <w:rPr>
          <w:color w:val="000000"/>
        </w:rPr>
        <w:t>Date: _________________________</w:t>
      </w:r>
    </w:p>
    <w:p w:rsidR="00000000" w:rsidRDefault="00EC363D">
      <w:pPr>
        <w:pStyle w:val="BodyText"/>
        <w:widowControl/>
      </w:pPr>
      <w:r>
        <w:rPr>
          <w:color w:val="000000"/>
        </w:rPr>
        <w:t>© ADR – Issued under TPD 15/2026 (ISA variant). This is an income share agreement, not a</w:t>
      </w:r>
      <w:r>
        <w:rPr>
          <w:color w:val="000000"/>
        </w:rPr>
        <w:t xml:space="preserve"> loan.</w:t>
      </w:r>
    </w:p>
    <w:p w:rsidR="00EC363D" w:rsidRDefault="00EC363D">
      <w:r>
        <w:t>Aluochier Dispute Resolution is a registered trading name of Serveyah Limited, a limited liability company incorporated in Kenya.</w:t>
      </w:r>
    </w:p>
    <w:sectPr w:rsidR="00EC363D">
      <w:footerReference w:type="default" r:id="rId7"/>
      <w:pgSz w:w="11906" w:h="16838"/>
      <w:pgMar w:top="1134" w:right="1134" w:bottom="1693" w:left="1134" w:header="720" w:footer="11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63D" w:rsidRDefault="00EC363D">
      <w:r>
        <w:separator/>
      </w:r>
    </w:p>
  </w:endnote>
  <w:endnote w:type="continuationSeparator" w:id="0">
    <w:p w:rsidR="00EC363D" w:rsidRDefault="00EC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C363D">
    <w:pPr>
      <w:pStyle w:val="Footer"/>
      <w:jc w:val="center"/>
    </w:pPr>
    <w:r>
      <w:rPr>
        <w:i/>
        <w:iCs/>
      </w:rPr>
      <w:t xml:space="preserve">Aluochier Dispute Resolution | AITAR Income Share Agreement | Page </w:t>
    </w:r>
    <w:r>
      <w:rPr>
        <w:i/>
        <w:iCs/>
      </w:rPr>
      <w:fldChar w:fldCharType="begin"/>
    </w:r>
    <w:r>
      <w:rPr>
        <w:i/>
        <w:iCs/>
      </w:rPr>
      <w:instrText xml:space="preserve"> PAGE </w:instrText>
    </w:r>
    <w:r>
      <w:rPr>
        <w:i/>
        <w:iCs/>
      </w:rPr>
      <w:fldChar w:fldCharType="separate"/>
    </w:r>
    <w:r w:rsidR="0067403D">
      <w:rPr>
        <w:i/>
        <w:iCs/>
        <w:noProof/>
      </w:rPr>
      <w:t>1</w:t>
    </w:r>
    <w:r>
      <w:rPr>
        <w:i/>
        <w:i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63D" w:rsidRDefault="00EC363D">
      <w:r>
        <w:separator/>
      </w:r>
    </w:p>
  </w:footnote>
  <w:footnote w:type="continuationSeparator" w:id="0">
    <w:p w:rsidR="00EC363D" w:rsidRDefault="00EC36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3D"/>
    <w:rsid w:val="0067403D"/>
    <w:rsid w:val="00EC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B527DE0-5D39-4E0D-80F5-12C051F1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Lucida Sans"/>
      <w:kern w:val="1"/>
      <w:sz w:val="24"/>
      <w:szCs w:val="24"/>
      <w:lang w:eastAsia="hi-IN" w:bidi="hi-IN"/>
    </w:rPr>
  </w:style>
  <w:style w:type="paragraph" w:styleId="Heading1">
    <w:name w:val="heading 1"/>
    <w:basedOn w:val="Heading"/>
    <w:next w:val="BodyText"/>
    <w:qFormat/>
    <w:pPr>
      <w:outlineLvl w:val="0"/>
    </w:pPr>
    <w:rPr>
      <w:rFonts w:eastAsia="SimSun"/>
      <w:b/>
      <w:bCs/>
      <w:sz w:val="48"/>
      <w:szCs w:val="48"/>
    </w:rPr>
  </w:style>
  <w:style w:type="paragraph" w:styleId="Heading2">
    <w:name w:val="heading 2"/>
    <w:basedOn w:val="Heading"/>
    <w:next w:val="BodyText"/>
    <w:qFormat/>
    <w:pPr>
      <w:outlineLvl w:val="1"/>
    </w:pPr>
    <w:rPr>
      <w:rFonts w:eastAsia="SimSu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cp:lastModifiedBy>Isaac Aluochier</cp:lastModifiedBy>
  <cp:revision>2</cp:revision>
  <cp:lastPrinted>1601-01-01T00:00:00Z</cp:lastPrinted>
  <dcterms:created xsi:type="dcterms:W3CDTF">2026-05-31T10:30:00Z</dcterms:created>
  <dcterms:modified xsi:type="dcterms:W3CDTF">2026-05-31T10:30:00Z</dcterms:modified>
</cp:coreProperties>
</file>